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2"/>
          <w:szCs w:val="22"/>
        </w:rPr>
      </w:pPr>
    </w:p>
    <w:p>
      <w:pPr>
        <w:spacing w:before="0" w:after="0"/>
        <w:ind w:firstLine="567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Дело № 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824</w:t>
      </w:r>
      <w:r>
        <w:rPr>
          <w:rFonts w:ascii="Times New Roman" w:eastAsia="Times New Roman" w:hAnsi="Times New Roman" w:cs="Times New Roman"/>
          <w:sz w:val="20"/>
          <w:szCs w:val="20"/>
        </w:rPr>
        <w:t>-2610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о делу об административном правонарушении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eastAsia="Times New Roman" w:hAnsi="Times New Roman" w:cs="Times New Roman"/>
          <w:sz w:val="26"/>
          <w:szCs w:val="26"/>
        </w:rPr>
        <w:t>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03 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Король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Е.П.</w:t>
      </w:r>
      <w:r>
        <w:rPr>
          <w:rFonts w:ascii="Times New Roman" w:eastAsia="Times New Roman" w:hAnsi="Times New Roman" w:cs="Times New Roman"/>
          <w:sz w:val="26"/>
          <w:szCs w:val="26"/>
        </w:rPr>
        <w:t>, расположенн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ый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ХМАО - Югра, г. Сург</w:t>
      </w:r>
      <w:r>
        <w:rPr>
          <w:rFonts w:ascii="Times New Roman" w:eastAsia="Times New Roman" w:hAnsi="Times New Roman" w:cs="Times New Roman"/>
          <w:sz w:val="26"/>
          <w:szCs w:val="26"/>
        </w:rPr>
        <w:t>ут, ул. Гагарина, д. 9, каб. 2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нарушении, предусмотренном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19.5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Мустафаевой Светланы Вагифовны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5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22.04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</w:rPr>
        <w:t>в 10 ч</w:t>
      </w:r>
      <w:r>
        <w:rPr>
          <w:rFonts w:ascii="Times New Roman" w:eastAsia="Times New Roman" w:hAnsi="Times New Roman" w:cs="Times New Roman"/>
          <w:sz w:val="26"/>
          <w:szCs w:val="26"/>
        </w:rPr>
        <w:t>ас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на земельном участке с кадастровым номером </w:t>
      </w:r>
      <w:r>
        <w:rPr>
          <w:rStyle w:val="cat-UserDefinedgrp-46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правообладателем которого является Мустафаева С.В., рядом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многоквартирным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домом по адресу: </w:t>
      </w:r>
      <w:r>
        <w:rPr>
          <w:rStyle w:val="cat-UserDefinedgrp-47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выявлен факт неисполнения </w:t>
      </w:r>
      <w:r>
        <w:rPr>
          <w:rFonts w:ascii="Times New Roman" w:eastAsia="Times New Roman" w:hAnsi="Times New Roman" w:cs="Times New Roman"/>
          <w:sz w:val="26"/>
          <w:szCs w:val="26"/>
        </w:rPr>
        <w:t>Мустафаевой С.В.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законного предписания главного специалиста отдела административного контроля контрольного управления Администрации города Сургута об устранении выявленных нарушений обязательных требований от </w:t>
      </w:r>
      <w:r>
        <w:rPr>
          <w:rFonts w:ascii="Times New Roman" w:eastAsia="Times New Roman" w:hAnsi="Times New Roman" w:cs="Times New Roman"/>
          <w:sz w:val="26"/>
          <w:szCs w:val="26"/>
        </w:rPr>
        <w:t>07.04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137</w:t>
      </w:r>
      <w:r>
        <w:rPr>
          <w:rFonts w:ascii="Times New Roman" w:eastAsia="Times New Roman" w:hAnsi="Times New Roman" w:cs="Times New Roman"/>
          <w:sz w:val="26"/>
          <w:szCs w:val="26"/>
        </w:rPr>
        <w:t>, в срок до 00 ч</w:t>
      </w:r>
      <w:r>
        <w:rPr>
          <w:rFonts w:ascii="Times New Roman" w:eastAsia="Times New Roman" w:hAnsi="Times New Roman" w:cs="Times New Roman"/>
          <w:sz w:val="26"/>
          <w:szCs w:val="26"/>
        </w:rPr>
        <w:t>ас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00 мин. </w:t>
      </w:r>
      <w:r>
        <w:rPr>
          <w:rFonts w:ascii="Times New Roman" w:eastAsia="Times New Roman" w:hAnsi="Times New Roman" w:cs="Times New Roman"/>
          <w:sz w:val="26"/>
          <w:szCs w:val="26"/>
        </w:rPr>
        <w:t>21.04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именно: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провести мероприятия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земельном участке с кадастровым номером </w:t>
      </w:r>
      <w:r>
        <w:rPr>
          <w:rStyle w:val="cat-UserDefinedgrp-46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рядом с </w:t>
      </w:r>
      <w:r>
        <w:rPr>
          <w:rFonts w:ascii="Times New Roman" w:eastAsia="Times New Roman" w:hAnsi="Times New Roman" w:cs="Times New Roman"/>
          <w:sz w:val="26"/>
          <w:szCs w:val="26"/>
        </w:rPr>
        <w:t>многоквартирным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домом по адресу: </w:t>
      </w:r>
      <w:r>
        <w:rPr>
          <w:rStyle w:val="cat-UserDefinedgrp-47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 установке ограждения строительной площадки, информационных щитов с указанием наименования объекта, схемы движения и места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разворота транспорта, объектов пожарного водоснабжения, названия застройщика, исполнителя работ (подрядчика), фамилии, должности и номеров телефонов ответственного производителя работ, сроков начала и окончания работ, а также установки пункта очистки (мойки) колёс автотранспорта, </w:t>
      </w:r>
      <w:r>
        <w:rPr>
          <w:rFonts w:ascii="Times New Roman" w:eastAsia="Times New Roman" w:hAnsi="Times New Roman" w:cs="Times New Roman"/>
          <w:sz w:val="26"/>
          <w:szCs w:val="26"/>
        </w:rPr>
        <w:t>чем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требования, предусмотренные ч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>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 ст. 37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Правил благоустройства территории города Сургута, утверждённых решением Думы города от 26.12.2017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</w:rPr>
        <w:t>№ 206-VI ДГ «О Правилах благоустройства территории города Сургута»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тем самым совершила административное правонарушение,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ответственность за которое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sz w:val="26"/>
          <w:szCs w:val="26"/>
        </w:rPr>
        <w:t>ч. 1 ст. 19.5 КоАП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рассмотрении дела об административном правонарушении привлекаем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>, будучи 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(п. 6 постановления Пленума ВС РФ от 24.03.2005 г. № 5), </w:t>
      </w:r>
      <w:r>
        <w:rPr>
          <w:rFonts w:ascii="Times New Roman" w:eastAsia="Times New Roman" w:hAnsi="Times New Roman" w:cs="Times New Roman"/>
          <w:sz w:val="26"/>
          <w:szCs w:val="26"/>
        </w:rPr>
        <w:t>не присутствовал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судебного заседания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hyperlink r:id="rId4" w:anchor="/document/12125267/entry/195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 ст. 19.5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 предусмотрена административная ответственность за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невыполнение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законодательства, с назначением административного штрафа, в том числе на граждан в размере от трехсот до пятисот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ст. 3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Правил благоустройства территории города Сургута, утвержденных решением Думы города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26.12.2017 года № 206-VI ДГ «О Правилах благоустройства территории города Сургута», </w:t>
      </w:r>
      <w:r>
        <w:rPr>
          <w:rFonts w:ascii="Times New Roman" w:eastAsia="Times New Roman" w:hAnsi="Times New Roman" w:cs="Times New Roman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sz w:val="26"/>
          <w:szCs w:val="26"/>
        </w:rPr>
        <w:t>лагоустройство и содержание строительных площадок и прилегающих территорий регламентируется нормами федерального законодательства, утверждёнными проектами организации производства строительных работ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(ч. 1)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eastAsia="Times New Roman" w:hAnsi="Times New Roman" w:cs="Times New Roman"/>
          <w:sz w:val="26"/>
          <w:szCs w:val="26"/>
        </w:rPr>
        <w:t>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объекта, схемы движения и места разворота транспорта, объектов пожарного водоснабжения, названия застройщика, исполнителя работ (подрядчика), фамилии, должности и номеров телефонов ответственного производителя работ, сроков начала и окончания работ. Строительная площадка и информационные щиты должны быть освещены в тёмное время суток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(ч. 2)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Параметры ограждающих конструкций строительных площадок должны соответствовать установленным требованиям действующих ГОСТ.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Строительные площадки на территории города в обязательном порядке должны иметь ограждающие конструкции без повреждений (деформаций) таких конструкций от внешних воздействий. В местах движения пешеходов ограждающая конструкция должна иметь козырёк и тротуар с ограждением от проезжей части улиц. Содержание ограждений, козырьков, тротуаров, включая удаление мусора, осуществляется организациями, производящими строительные работы. Запрещается размещение несанкционированной рекламы и объявлений на ограждениях строительных площадок. Ограждения строительных площадок должны содержаться в чистоте, своевременно очищаться и окрашиваться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(ч. 3)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Выезды с территорий строительных площадок, объектов производителей строительных материалов (заводов железобетонных изделий, растворных узлов и др.), песчаных карьеров в обязательном порядке оборудуются пунктами очистки (мойки) колёс автотранспорта. Запрещается вынос грунта и грязи колёсами автотранспорта на территорию города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(ч. 5)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 следует из материалов дела,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порядке осуществления муниципального контроля в сфере благоустройства главным специалистом отдела административного контроля управления Администрации города Сургута на </w:t>
      </w:r>
      <w:r>
        <w:rPr>
          <w:rFonts w:ascii="Times New Roman" w:eastAsia="Times New Roman" w:hAnsi="Times New Roman" w:cs="Times New Roman"/>
          <w:sz w:val="26"/>
          <w:szCs w:val="26"/>
        </w:rPr>
        <w:t>основании задания от 07.04.2026 года № 106 и в соответствии с п. 7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постановления Правительства Российской Федерации от 10.03.2022 года № 336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проведено выездное обследование без взаимодействия в отношении строительной площадки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расположенной на земельном участке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кадастровым номером </w:t>
      </w:r>
      <w:r>
        <w:rPr>
          <w:rStyle w:val="cat-UserDefinedgrp-46rplc-4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правообладателем </w:t>
      </w:r>
      <w:r>
        <w:rPr>
          <w:rFonts w:ascii="Times New Roman" w:eastAsia="Times New Roman" w:hAnsi="Times New Roman" w:cs="Times New Roman"/>
          <w:sz w:val="26"/>
          <w:szCs w:val="26"/>
        </w:rPr>
        <w:t>которого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является Мустафаева С.В.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рядом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многоквартирным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домом по адресу: </w:t>
      </w:r>
      <w:r>
        <w:rPr>
          <w:rStyle w:val="cat-UserDefinedgrp-47rplc-4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по результатам которого выявлено отсутствие ограждения строительной площадки, информационных щитов с указанием наименования объекта, схемы движения и места разворота транспорта, объектов пожарного водоснабжения, названия застройщика, исполнителя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работ (подрядчика), фамилии, должности и номеров телефонов ответственного производителя работ, сроков начала и окончания работ, а также отсутствие пункта очистки (мойки) колес автотранспорта на территории строительной площадки.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целью устранения выявленных нарушений обязательных требований в адрес </w:t>
      </w:r>
      <w:r>
        <w:rPr>
          <w:rFonts w:ascii="Times New Roman" w:eastAsia="Times New Roman" w:hAnsi="Times New Roman" w:cs="Times New Roman"/>
          <w:sz w:val="26"/>
          <w:szCs w:val="26"/>
        </w:rPr>
        <w:t>Мус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афаевой С.В.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вынесено предписание № </w:t>
      </w:r>
      <w:r>
        <w:rPr>
          <w:rFonts w:ascii="Times New Roman" w:eastAsia="Times New Roman" w:hAnsi="Times New Roman" w:cs="Times New Roman"/>
          <w:sz w:val="26"/>
          <w:szCs w:val="26"/>
        </w:rPr>
        <w:t>137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07.04.2026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об устранении допущенного нарушения до 00 час. 00 мин. </w:t>
      </w:r>
      <w:r>
        <w:rPr>
          <w:rFonts w:ascii="Times New Roman" w:eastAsia="Times New Roman" w:hAnsi="Times New Roman" w:cs="Times New Roman"/>
          <w:sz w:val="26"/>
          <w:szCs w:val="26"/>
        </w:rPr>
        <w:t>21.04</w:t>
      </w:r>
      <w:r>
        <w:rPr>
          <w:rFonts w:ascii="Times New Roman" w:eastAsia="Times New Roman" w:hAnsi="Times New Roman" w:cs="Times New Roman"/>
          <w:sz w:val="26"/>
          <w:szCs w:val="26"/>
        </w:rPr>
        <w:t>.2026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Указанное предписание направлено </w:t>
      </w:r>
      <w:r>
        <w:rPr>
          <w:rFonts w:ascii="Times New Roman" w:eastAsia="Times New Roman" w:hAnsi="Times New Roman" w:cs="Times New Roman"/>
          <w:sz w:val="26"/>
          <w:szCs w:val="26"/>
        </w:rPr>
        <w:t>Мустафаевой С.В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посредством почтовой связи по месту регистрации (ШПИ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8rplc-5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, п</w:t>
      </w:r>
      <w:r>
        <w:rPr>
          <w:rFonts w:ascii="Times New Roman" w:eastAsia="Times New Roman" w:hAnsi="Times New Roman" w:cs="Times New Roman"/>
          <w:sz w:val="26"/>
          <w:szCs w:val="26"/>
        </w:rPr>
        <w:t>очтовая корреспонденция адресатом не получена, возвращена отправителю за истечением срока хранения.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положений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64072/entry/165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 165.1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ГК РФ заявления, уведомления, извещения, требования или иные юридически значимые сообщения, с которыми закон или сделка связывает гражданско-правовые последствия для другого лица, влекут для этого лица такие последствия с момента доставки соответствующего сообщения ему или его представителю.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Как разъяснено в п. 67 постановления Пленума Верховного Суда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 23</w:t>
      </w:r>
      <w:r>
        <w:rPr>
          <w:rFonts w:ascii="Times New Roman" w:eastAsia="Times New Roman" w:hAnsi="Times New Roman" w:cs="Times New Roman"/>
          <w:sz w:val="26"/>
          <w:szCs w:val="26"/>
        </w:rPr>
        <w:t>.06.</w:t>
      </w:r>
      <w:r>
        <w:rPr>
          <w:rFonts w:ascii="Times New Roman" w:eastAsia="Times New Roman" w:hAnsi="Times New Roman" w:cs="Times New Roman"/>
          <w:sz w:val="26"/>
          <w:szCs w:val="26"/>
        </w:rPr>
        <w:t>2015 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ода № </w:t>
      </w:r>
      <w:r>
        <w:rPr>
          <w:rFonts w:ascii="Times New Roman" w:eastAsia="Times New Roman" w:hAnsi="Times New Roman" w:cs="Times New Roman"/>
          <w:sz w:val="26"/>
          <w:szCs w:val="26"/>
        </w:rPr>
        <w:t>25 "О применении судами некоторых положений раздела I части первой Гражданского кодекса Российской Федерации"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юридически значимое сообщение считается доставленным и в тех случаях, если оно поступило лицу, которому оно направлено, но по обстоятельствам, зависящим от него, не было ему вручено или адресат не ознакомился с ним (</w:t>
      </w:r>
      <w:hyperlink r:id="rId4" w:anchor="/document/10164072/entry/165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1 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165.1 ГК 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РФ). Например, сообщение считается доставленным, если адресат уклонился от получения корреспонденции в отделении связи, в связи с чем она была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возвращена по истечении срока хранения. </w:t>
      </w:r>
      <w:r>
        <w:rPr>
          <w:rFonts w:ascii="Times New Roman" w:eastAsia="Times New Roman" w:hAnsi="Times New Roman" w:cs="Times New Roman"/>
          <w:sz w:val="26"/>
          <w:szCs w:val="26"/>
        </w:rPr>
        <w:t>Риск неполучения поступившей корреспонденции несет адресат.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учетом изложенного неполучение адресатом предписания, направленного по месту регистрации, не исключает обязанности по его выполнению в установленный срок.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месте с тем, в установленный срок предписание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устранении выявленных нарушений обязательных требований Мустафаевой С.В. </w:t>
      </w:r>
      <w:r>
        <w:rPr>
          <w:rFonts w:ascii="Times New Roman" w:eastAsia="Times New Roman" w:hAnsi="Times New Roman" w:cs="Times New Roman"/>
          <w:sz w:val="26"/>
          <w:szCs w:val="26"/>
        </w:rPr>
        <w:t>исполнено не было, ч</w:t>
      </w:r>
      <w:r>
        <w:rPr>
          <w:rFonts w:ascii="Times New Roman" w:eastAsia="Times New Roman" w:hAnsi="Times New Roman" w:cs="Times New Roman"/>
          <w:sz w:val="26"/>
          <w:szCs w:val="26"/>
        </w:rPr>
        <w:t>то подтверждается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совокупностью представленных административным органом доказательств: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61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15.05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.2026 года;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ЕГР</w:t>
      </w:r>
      <w:r>
        <w:rPr>
          <w:rFonts w:ascii="Times New Roman" w:eastAsia="Times New Roman" w:hAnsi="Times New Roman" w:cs="Times New Roman"/>
          <w:sz w:val="26"/>
          <w:szCs w:val="26"/>
        </w:rPr>
        <w:t>ИП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>
        <w:rPr>
          <w:rFonts w:ascii="Times New Roman" w:eastAsia="Times New Roman" w:hAnsi="Times New Roman" w:cs="Times New Roman"/>
          <w:sz w:val="26"/>
          <w:szCs w:val="26"/>
        </w:rPr>
        <w:t>предписани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устранении выявленных нарушений обязательных требований № </w:t>
      </w:r>
      <w:r>
        <w:rPr>
          <w:rFonts w:ascii="Times New Roman" w:eastAsia="Times New Roman" w:hAnsi="Times New Roman" w:cs="Times New Roman"/>
          <w:sz w:val="26"/>
          <w:szCs w:val="26"/>
        </w:rPr>
        <w:t>137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07.04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.2026 года; </w:t>
      </w:r>
      <w:r>
        <w:rPr>
          <w:rFonts w:ascii="Times New Roman" w:eastAsia="Times New Roman" w:hAnsi="Times New Roman" w:cs="Times New Roman"/>
          <w:sz w:val="26"/>
          <w:szCs w:val="26"/>
        </w:rPr>
        <w:t>копией задания № 136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проведение выездного обследования от 07.04.2026 года;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акта по результатам проведения выездного обследования от 07.04.2026 года;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фото таблицей к акту выездного обследования от 07.04.2026 года;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схемой к акту выездного обследования земельного участка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кадастровым номером </w:t>
      </w:r>
      <w:r>
        <w:rPr>
          <w:rStyle w:val="cat-UserDefinedgrp-46rplc-6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рядом с многоквартирным домом по адресу: </w:t>
      </w:r>
      <w:r>
        <w:rPr>
          <w:rStyle w:val="cat-UserDefinedgrp-47rplc-6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ЕГРН;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сопроводительным письмом от 07.04.2026 года № 28-02-2126/6 о направлении в адрес Мустафаевой С.В. предписания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устранении выявленных нарушений обязательных требований от 07.04.2026 года </w:t>
      </w:r>
      <w:r>
        <w:rPr>
          <w:rFonts w:ascii="Times New Roman" w:eastAsia="Times New Roman" w:hAnsi="Times New Roman" w:cs="Times New Roman"/>
          <w:sz w:val="26"/>
          <w:szCs w:val="26"/>
        </w:rPr>
        <w:t>№ 137</w:t>
      </w:r>
      <w:r>
        <w:rPr>
          <w:rFonts w:ascii="Times New Roman" w:eastAsia="Times New Roman" w:hAnsi="Times New Roman" w:cs="Times New Roman"/>
          <w:sz w:val="26"/>
          <w:szCs w:val="26"/>
        </w:rPr>
        <w:t>, выписк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акта выездного обследования от 07.04.2026 года</w:t>
      </w:r>
      <w:r>
        <w:rPr>
          <w:rFonts w:ascii="Times New Roman" w:eastAsia="Times New Roman" w:hAnsi="Times New Roman" w:cs="Times New Roman"/>
          <w:sz w:val="26"/>
          <w:szCs w:val="26"/>
        </w:rPr>
        <w:t>; копией списка внутренних почтовых отправлений от 09.04.2026 года;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отчетом об отслеживании отправления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почтовым идентификатором № 80092820240588; </w:t>
      </w:r>
      <w:r>
        <w:rPr>
          <w:rFonts w:ascii="Times New Roman" w:eastAsia="Times New Roman" w:hAnsi="Times New Roman" w:cs="Times New Roman"/>
          <w:sz w:val="26"/>
          <w:szCs w:val="26"/>
        </w:rPr>
        <w:t>копией задания № 113 на проведение выездного обследования от 22.04.2026 года;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акта по результатам проведения выездного обследования от 22.04.2026 года;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фото таблицей 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акту выездного обследования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22.04.2026 года</w:t>
      </w:r>
      <w:r>
        <w:rPr>
          <w:rFonts w:ascii="Times New Roman" w:eastAsia="Times New Roman" w:hAnsi="Times New Roman" w:cs="Times New Roman"/>
          <w:sz w:val="26"/>
          <w:szCs w:val="26"/>
        </w:rPr>
        <w:t>; схемой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акту выездного обследования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земельного участка с кадастровым номером </w:t>
      </w:r>
      <w:r>
        <w:rPr>
          <w:rStyle w:val="cat-UserDefinedgrp-46rplc-7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рядом с многоквартирным домом по адресу: </w:t>
      </w:r>
      <w:r>
        <w:rPr>
          <w:rStyle w:val="cat-UserDefinedgrp-47rplc-7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 </w:t>
      </w:r>
      <w:r>
        <w:rPr>
          <w:rFonts w:ascii="Times New Roman" w:eastAsia="Times New Roman" w:hAnsi="Times New Roman" w:cs="Times New Roman"/>
          <w:sz w:val="26"/>
          <w:szCs w:val="26"/>
        </w:rPr>
        <w:t>от 22.04.2026 года № 28-02-2494/6 о необходимости явки для составления протокола об административном правонарушении по ч. 1 ст. 19.5 КоАП РФ; копией списка внутренних почтовых отправлений от 24.04.2026 года; отчетом об отслеживании отправления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почтовым идентификатором № </w:t>
      </w:r>
      <w:r>
        <w:rPr>
          <w:rStyle w:val="cat-UserDefinedgrp-49rplc-8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уведомлением от 15.05.2026 года № 28-02-3040/6 о направлении Мустафаевой С.В. копии протокола об административном правонарушении № 61 от 15.05.2026 года;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списка внутренних почтовых отправлений от 19.05.2026 года.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 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 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этой связи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Мустафаевой С.В. </w:t>
      </w:r>
      <w:r>
        <w:rPr>
          <w:rFonts w:ascii="Times New Roman" w:eastAsia="Times New Roman" w:hAnsi="Times New Roman" w:cs="Times New Roman"/>
          <w:sz w:val="26"/>
          <w:szCs w:val="26"/>
        </w:rPr>
        <w:t>подлежат квалификации судом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95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 ст. 19.5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 как н</w:t>
      </w:r>
      <w:r>
        <w:rPr>
          <w:rFonts w:ascii="Times New Roman" w:eastAsia="Times New Roman" w:hAnsi="Times New Roman" w:cs="Times New Roman"/>
          <w:sz w:val="26"/>
          <w:szCs w:val="26"/>
        </w:rPr>
        <w:t>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законодательства, за исключением случаев,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439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ч.ч.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4390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4390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4390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8 ст. 14.39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45201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ч.ч. 12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45201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452019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19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45202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21 ст. 14.51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Оснований для прекращения производства по делу, равно как и </w:t>
      </w:r>
      <w:r>
        <w:rPr>
          <w:rFonts w:ascii="Times New Roman" w:eastAsia="Times New Roman" w:hAnsi="Times New Roman" w:cs="Times New Roman"/>
          <w:sz w:val="26"/>
          <w:szCs w:val="26"/>
        </w:rPr>
        <w:t>освобождения от административной ответственности, в том числе по основанию, предусмотренному ст. 2.9 КоАП РФ, не имеется. Обстоятельства, исключающие производство по делу об административном правонарушении и возможность рассмотрения дела об административном правонарушении, отсутствуют. Обстоятельств, смягчающих и отягчающих административную ответственность,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95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 ст. 19.5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 формальный и ответственность наступает независимо от наступивших последствий.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данные 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привлекаемом к административной ответственности лице,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отягчающих административную ответственность обстоятельств,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считает, что назначение наказания в виде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минимальном, предусмотренном санкцией размере,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соответствует характеру и степени общественной опасности совершенного правонарушения.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решении вопроса о замене наказания в виде штрафа на предупреждение в порядке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4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 4.1.1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РФ, мировой судья учитывает положения ч. 2 указанной статьи о том, что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предусмотренного, в том числе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9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 19.5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Применение положений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410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ч.ч. 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4102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2.3 ст. 4.1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 в данном случае также невозможно с учетом санкции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ст. 19.5 КоАП РФ. 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Мустафаеву Светлану Вагифовну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19.5 КоАП РФ,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административное наказание в виде штрафа в размере </w:t>
      </w:r>
      <w:r>
        <w:rPr>
          <w:rStyle w:val="cat-Sumgrp-33rplc-89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городской суд путем подачи жалобы через мирового судью судебного участка № 10 Сургутского судебного района города окружного значения Сургута Ханты-Мансийского автономного округа-Югры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перечислять на реквизиты: получатель: УФК по ХМАО-Югре (Администрация города Сургута л/с 04873031020), ИНН 8602020249, КПП 860201001, Банк получателя: </w:t>
      </w:r>
      <w:r>
        <w:rPr>
          <w:rFonts w:ascii="Times New Roman" w:eastAsia="Times New Roman" w:hAnsi="Times New Roman" w:cs="Times New Roman"/>
          <w:sz w:val="26"/>
          <w:szCs w:val="26"/>
        </w:rPr>
        <w:t>РКЦ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//УФК по ХМАО-Югре г. Ханты-Мансийск, </w:t>
      </w:r>
      <w:r>
        <w:rPr>
          <w:rFonts w:ascii="Times New Roman" w:eastAsia="Times New Roman" w:hAnsi="Times New Roman" w:cs="Times New Roman"/>
          <w:sz w:val="26"/>
          <w:szCs w:val="26"/>
        </w:rPr>
        <w:t>ЕКС 40102810245370000007, КС 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>, БИК 007162163, ОКТМО 71876000, КБК 04011601194010000140,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0320063100000000014586066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Копию квитанции об оплате административного штрафа необходимо представить по адресу: г. Сургут, ул. Гагарина, д. 9, каб. 105.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Е.П. Король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3709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45rplc-6">
    <w:name w:val="cat-UserDefined grp-45 rplc-6"/>
    <w:basedOn w:val="DefaultParagraphFont"/>
  </w:style>
  <w:style w:type="character" w:customStyle="1" w:styleId="cat-UserDefinedgrp-46rplc-16">
    <w:name w:val="cat-UserDefined grp-46 rplc-16"/>
    <w:basedOn w:val="DefaultParagraphFont"/>
  </w:style>
  <w:style w:type="character" w:customStyle="1" w:styleId="cat-UserDefinedgrp-47rplc-19">
    <w:name w:val="cat-UserDefined grp-47 rplc-19"/>
    <w:basedOn w:val="DefaultParagraphFont"/>
  </w:style>
  <w:style w:type="character" w:customStyle="1" w:styleId="cat-UserDefinedgrp-46rplc-26">
    <w:name w:val="cat-UserDefined grp-46 rplc-26"/>
    <w:basedOn w:val="DefaultParagraphFont"/>
  </w:style>
  <w:style w:type="character" w:customStyle="1" w:styleId="cat-UserDefinedgrp-47rplc-28">
    <w:name w:val="cat-UserDefined grp-47 rplc-28"/>
    <w:basedOn w:val="DefaultParagraphFont"/>
  </w:style>
  <w:style w:type="character" w:customStyle="1" w:styleId="cat-UserDefinedgrp-46rplc-44">
    <w:name w:val="cat-UserDefined grp-46 rplc-44"/>
    <w:basedOn w:val="DefaultParagraphFont"/>
  </w:style>
  <w:style w:type="character" w:customStyle="1" w:styleId="cat-UserDefinedgrp-47rplc-47">
    <w:name w:val="cat-UserDefined grp-47 rplc-47"/>
    <w:basedOn w:val="DefaultParagraphFont"/>
  </w:style>
  <w:style w:type="character" w:customStyle="1" w:styleId="cat-UserDefinedgrp-48rplc-54">
    <w:name w:val="cat-UserDefined grp-48 rplc-54"/>
    <w:basedOn w:val="DefaultParagraphFont"/>
  </w:style>
  <w:style w:type="character" w:customStyle="1" w:styleId="cat-UserDefinedgrp-46rplc-62">
    <w:name w:val="cat-UserDefined grp-46 rplc-62"/>
    <w:basedOn w:val="DefaultParagraphFont"/>
  </w:style>
  <w:style w:type="character" w:customStyle="1" w:styleId="cat-UserDefinedgrp-47rplc-64">
    <w:name w:val="cat-UserDefined grp-47 rplc-64"/>
    <w:basedOn w:val="DefaultParagraphFont"/>
  </w:style>
  <w:style w:type="character" w:customStyle="1" w:styleId="cat-UserDefinedgrp-46rplc-75">
    <w:name w:val="cat-UserDefined grp-46 rplc-75"/>
    <w:basedOn w:val="DefaultParagraphFont"/>
  </w:style>
  <w:style w:type="character" w:customStyle="1" w:styleId="cat-UserDefinedgrp-47rplc-77">
    <w:name w:val="cat-UserDefined grp-47 rplc-77"/>
    <w:basedOn w:val="DefaultParagraphFont"/>
  </w:style>
  <w:style w:type="character" w:customStyle="1" w:styleId="cat-UserDefinedgrp-49rplc-82">
    <w:name w:val="cat-UserDefined grp-49 rplc-82"/>
    <w:basedOn w:val="DefaultParagraphFont"/>
  </w:style>
  <w:style w:type="character" w:customStyle="1" w:styleId="cat-Sumgrp-33rplc-89">
    <w:name w:val="cat-Sum grp-33 rplc-8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0C11D-31B2-476E-B951-68B03C3F9DF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